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1254F013" w:rsidR="00F16D2E" w:rsidRPr="00AB5927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Pr="00AB5927">
        <w:rPr>
          <w:rFonts w:ascii="Verdana" w:hAnsi="Verdana" w:cs="Arial"/>
          <w:b/>
          <w:sz w:val="20"/>
          <w:szCs w:val="20"/>
        </w:rPr>
        <w:t xml:space="preserve">Poprawa 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brd na przejściach dla pieszych w ciągu </w:t>
      </w:r>
      <w:r w:rsidR="000D55CE">
        <w:rPr>
          <w:rFonts w:ascii="Verdana" w:hAnsi="Verdana" w:cs="Arial"/>
          <w:b/>
          <w:sz w:val="20"/>
          <w:szCs w:val="20"/>
        </w:rPr>
        <w:t>DK78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Rejonu </w:t>
      </w:r>
      <w:r w:rsidR="000D55CE">
        <w:rPr>
          <w:rFonts w:ascii="Verdana" w:hAnsi="Verdana" w:cs="Arial"/>
          <w:b/>
          <w:sz w:val="20"/>
          <w:szCs w:val="20"/>
        </w:rPr>
        <w:t>Jędrzejów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</w:t>
      </w:r>
      <w:r w:rsidR="00E91654">
        <w:rPr>
          <w:rFonts w:ascii="Verdana" w:hAnsi="Verdana" w:cs="Arial"/>
          <w:b/>
          <w:sz w:val="20"/>
          <w:szCs w:val="20"/>
        </w:rPr>
        <w:t>obotami towarzyszącymi na drogach krajowych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nr </w:t>
      </w:r>
      <w:r w:rsidR="000D55CE">
        <w:rPr>
          <w:rFonts w:ascii="Verdana" w:hAnsi="Verdana" w:cs="Arial"/>
          <w:b/>
          <w:sz w:val="20"/>
          <w:szCs w:val="20"/>
        </w:rPr>
        <w:t>78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AB5927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43D0AC7C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0D55CE">
        <w:rPr>
          <w:rFonts w:ascii="Verdana" w:hAnsi="Verdana" w:cs="Tahoma"/>
          <w:iCs/>
          <w:sz w:val="20"/>
          <w:szCs w:val="20"/>
        </w:rPr>
        <w:t>grudnia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17B1F9F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0D55CE">
        <w:rPr>
          <w:rFonts w:ascii="Verdana" w:hAnsi="Verdana"/>
          <w:iCs/>
          <w:sz w:val="20"/>
          <w:szCs w:val="20"/>
        </w:rPr>
        <w:t>grudzień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27F23660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0D55CE">
        <w:rPr>
          <w:rFonts w:ascii="Verdana" w:hAnsi="Verdana" w:cs="Verdana"/>
          <w:sz w:val="20"/>
          <w:szCs w:val="20"/>
        </w:rPr>
        <w:t>grudzień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41AB3DAF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0D55CE">
        <w:rPr>
          <w:rFonts w:ascii="Verdana" w:hAnsi="Verdana" w:cs="Verdana"/>
          <w:sz w:val="20"/>
          <w:szCs w:val="20"/>
        </w:rPr>
        <w:t>grudzień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0D55CE">
        <w:rPr>
          <w:rFonts w:ascii="Verdana" w:hAnsi="Verdana" w:cs="Verdana"/>
          <w:sz w:val="20"/>
          <w:szCs w:val="20"/>
        </w:rPr>
        <w:t>grudzień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prawidłowością wykonywania wprowadzonej czasowej organizacji ruchu zgodnie z wymogami dot. znaków i urządzeń brd,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Kierownika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Kierownika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AB5927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r w:rsidR="000C44CF" w:rsidRPr="00AB5927">
        <w:rPr>
          <w:rFonts w:ascii="Verdana" w:hAnsi="Verdana"/>
          <w:sz w:val="20"/>
          <w:szCs w:val="20"/>
        </w:rPr>
        <w:t>STWiORB</w:t>
      </w:r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Kierownik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Kierownikiem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72368B60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0D55CE">
        <w:rPr>
          <w:rFonts w:ascii="Verdana" w:hAnsi="Verdana"/>
          <w:bCs/>
          <w:sz w:val="20"/>
          <w:szCs w:val="20"/>
        </w:rPr>
        <w:t>Jędrzejów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Kierownika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3C0300CC" w14:textId="1AC611D3" w:rsidR="00FA3B7E" w:rsidRPr="00AB5927" w:rsidRDefault="000D55C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0D55CE">
        <w:rPr>
          <w:rFonts w:ascii="Verdana" w:hAnsi="Verdana" w:cs="Tahoma"/>
          <w:sz w:val="20"/>
          <w:szCs w:val="20"/>
        </w:rPr>
        <w:t>https://gddkia.eb2b.com.pl/open-preview-auction.html/365455/poprawa-brd-na-przejsciach-dla-pieszych-w-ciagu-dk78-na-terenie-</w:t>
      </w:r>
      <w:bookmarkStart w:id="0" w:name="_GoBack"/>
      <w:r w:rsidRPr="000D55CE">
        <w:rPr>
          <w:rFonts w:ascii="Verdana" w:hAnsi="Verdana" w:cs="Tahoma"/>
          <w:sz w:val="20"/>
          <w:szCs w:val="20"/>
        </w:rPr>
        <w:t>rejon</w:t>
      </w:r>
      <w:bookmarkEnd w:id="0"/>
      <w:r w:rsidRPr="000D55CE">
        <w:rPr>
          <w:rFonts w:ascii="Verdana" w:hAnsi="Verdana" w:cs="Tahoma"/>
          <w:sz w:val="20"/>
          <w:szCs w:val="20"/>
        </w:rPr>
        <w:t>u-jedrzejow-w-woj-swietokrzyskim-w-systemie-projektuj-i-buduj-poprzez-wykonanie-oswietlenia-dedykowanego-wraz-z-robotami-towarzyszacymi-na-drodze-krajowej-nr-78-na-terenie-wojewod</w:t>
      </w:r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E556C" w14:textId="77777777" w:rsidR="00EA534C" w:rsidRDefault="00EA534C" w:rsidP="00512A7C">
      <w:r>
        <w:separator/>
      </w:r>
    </w:p>
  </w:endnote>
  <w:endnote w:type="continuationSeparator" w:id="0">
    <w:p w14:paraId="2269B8EF" w14:textId="77777777" w:rsidR="00EA534C" w:rsidRDefault="00EA534C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0687864E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5CE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EA534C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6CC5B" w14:textId="77777777" w:rsidR="00EA534C" w:rsidRDefault="00EA534C" w:rsidP="00512A7C">
      <w:r>
        <w:separator/>
      </w:r>
    </w:p>
  </w:footnote>
  <w:footnote w:type="continuationSeparator" w:id="0">
    <w:p w14:paraId="099CF758" w14:textId="77777777" w:rsidR="00EA534C" w:rsidRDefault="00EA534C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55CE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9F4059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A534C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3B7E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2905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2</cp:revision>
  <cp:lastPrinted>2020-02-17T12:14:00Z</cp:lastPrinted>
  <dcterms:created xsi:type="dcterms:W3CDTF">2022-11-17T09:10:00Z</dcterms:created>
  <dcterms:modified xsi:type="dcterms:W3CDTF">2022-11-17T09:10:00Z</dcterms:modified>
</cp:coreProperties>
</file>